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Grilledutableau"/>
        <w:tblW w:w="101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567"/>
      </w:tblGrid>
      <w:tr w:rsidR="00B63157" w:rsidRPr="00CF5866" w14:paraId="292AF28D" w14:textId="77777777" w:rsidTr="003B3AB8">
        <w:tc>
          <w:tcPr>
            <w:tcW w:w="4606" w:type="dxa"/>
          </w:tcPr>
          <w:p w14:paraId="1D81CA40" w14:textId="77777777" w:rsidR="00B63157" w:rsidRPr="00CF5866" w:rsidRDefault="00B63157" w:rsidP="003B3AB8">
            <w:pPr>
              <w:pStyle w:val="Sansinterligne"/>
              <w:spacing w:line="360" w:lineRule="auto"/>
              <w:ind w:left="-109"/>
              <w:jc w:val="both"/>
              <w:rPr>
                <w:rFonts w:asciiTheme="minorHAnsi" w:eastAsia="Times New Roman" w:hAnsiTheme="minorHAnsi" w:cstheme="minorHAnsi"/>
                <w:b/>
                <w:bCs/>
                <w:color w:val="D9D9D9"/>
                <w:sz w:val="21"/>
                <w:szCs w:val="21"/>
                <w:lang w:eastAsia="fr-FR"/>
              </w:rPr>
            </w:pPr>
            <w:r w:rsidRPr="00CF5866">
              <w:rPr>
                <w:rFonts w:asciiTheme="minorHAnsi" w:eastAsia="Times New Roman" w:hAnsiTheme="minorHAnsi" w:cstheme="minorHAnsi"/>
                <w:b/>
                <w:bCs/>
                <w:color w:val="D9D9D9"/>
                <w:sz w:val="21"/>
                <w:szCs w:val="21"/>
                <w:lang w:eastAsia="fr-FR"/>
              </w:rPr>
              <w:t>Prénom – Nom</w:t>
            </w:r>
          </w:p>
          <w:p w14:paraId="1738C501" w14:textId="77777777" w:rsidR="00B63157" w:rsidRPr="00CF5866" w:rsidRDefault="00B63157" w:rsidP="003B3AB8">
            <w:pPr>
              <w:pStyle w:val="Sansinterligne"/>
              <w:spacing w:line="360" w:lineRule="auto"/>
              <w:ind w:left="-109"/>
              <w:jc w:val="both"/>
              <w:rPr>
                <w:rFonts w:asciiTheme="minorHAnsi" w:eastAsia="Times New Roman" w:hAnsiTheme="minorHAnsi" w:cstheme="minorHAnsi"/>
                <w:b/>
                <w:bCs/>
                <w:color w:val="D9D9D9"/>
                <w:sz w:val="21"/>
                <w:szCs w:val="21"/>
                <w:lang w:eastAsia="fr-FR"/>
              </w:rPr>
            </w:pPr>
            <w:r w:rsidRPr="00CF5866">
              <w:rPr>
                <w:rFonts w:asciiTheme="minorHAnsi" w:eastAsia="Times New Roman" w:hAnsiTheme="minorHAnsi" w:cstheme="minorHAnsi"/>
                <w:b/>
                <w:bCs/>
                <w:color w:val="D9D9D9"/>
                <w:sz w:val="21"/>
                <w:szCs w:val="21"/>
                <w:lang w:eastAsia="fr-FR"/>
              </w:rPr>
              <w:t>Adresse </w:t>
            </w:r>
          </w:p>
          <w:p w14:paraId="77EA8356" w14:textId="77777777" w:rsidR="00B63157" w:rsidRPr="00CF5866" w:rsidRDefault="00B63157" w:rsidP="003B3AB8">
            <w:pPr>
              <w:pStyle w:val="Sansinterligne"/>
              <w:spacing w:line="360" w:lineRule="auto"/>
              <w:ind w:left="-109"/>
              <w:jc w:val="both"/>
              <w:rPr>
                <w:rFonts w:asciiTheme="minorHAnsi" w:eastAsia="Times New Roman" w:hAnsiTheme="minorHAnsi" w:cstheme="minorHAnsi"/>
                <w:b/>
                <w:bCs/>
                <w:color w:val="D9D9D9"/>
                <w:sz w:val="21"/>
                <w:szCs w:val="21"/>
                <w:lang w:eastAsia="fr-FR"/>
              </w:rPr>
            </w:pPr>
          </w:p>
          <w:p w14:paraId="7ABD817C" w14:textId="77777777" w:rsidR="00B63157" w:rsidRPr="00CF5866" w:rsidRDefault="00B63157" w:rsidP="003B3AB8">
            <w:pPr>
              <w:pStyle w:val="Sansinterligne"/>
              <w:spacing w:line="360" w:lineRule="auto"/>
              <w:ind w:left="-109"/>
              <w:jc w:val="both"/>
              <w:rPr>
                <w:rFonts w:asciiTheme="minorHAnsi" w:eastAsia="Times New Roman" w:hAnsiTheme="minorHAnsi" w:cstheme="minorHAnsi"/>
                <w:b/>
                <w:bCs/>
                <w:color w:val="D9D9D9"/>
                <w:sz w:val="21"/>
                <w:szCs w:val="21"/>
                <w:lang w:eastAsia="fr-FR"/>
              </w:rPr>
            </w:pPr>
          </w:p>
          <w:p w14:paraId="531D6D01" w14:textId="77777777" w:rsidR="00B63157" w:rsidRPr="00CF5866" w:rsidRDefault="00B63157" w:rsidP="003B3AB8">
            <w:pPr>
              <w:pStyle w:val="Sansinterligne"/>
              <w:spacing w:line="360" w:lineRule="auto"/>
              <w:ind w:left="-109"/>
              <w:jc w:val="both"/>
              <w:rPr>
                <w:rFonts w:asciiTheme="minorHAnsi" w:eastAsia="Times New Roman" w:hAnsiTheme="minorHAnsi" w:cstheme="minorHAnsi"/>
                <w:b/>
                <w:bCs/>
                <w:color w:val="D9D9D9"/>
                <w:sz w:val="21"/>
                <w:szCs w:val="21"/>
                <w:lang w:eastAsia="fr-FR"/>
              </w:rPr>
            </w:pPr>
            <w:r w:rsidRPr="00CF5866">
              <w:rPr>
                <w:rFonts w:asciiTheme="minorHAnsi" w:eastAsia="Times New Roman" w:hAnsiTheme="minorHAnsi" w:cstheme="minorHAnsi"/>
                <w:b/>
                <w:bCs/>
                <w:color w:val="D9D9D9"/>
                <w:sz w:val="21"/>
                <w:szCs w:val="21"/>
                <w:lang w:eastAsia="fr-FR"/>
              </w:rPr>
              <w:t>Code postal et commune </w:t>
            </w:r>
          </w:p>
          <w:p w14:paraId="2AEB9C0D" w14:textId="77777777" w:rsidR="00B63157" w:rsidRPr="00CF5866" w:rsidRDefault="00B63157" w:rsidP="003B3AB8">
            <w:pPr>
              <w:pStyle w:val="Sansinterligne"/>
              <w:spacing w:line="276" w:lineRule="auto"/>
              <w:ind w:left="283"/>
              <w:jc w:val="both"/>
              <w:rPr>
                <w:rFonts w:asciiTheme="minorHAnsi" w:hAnsiTheme="minorHAnsi" w:cstheme="minorHAnsi"/>
                <w:sz w:val="21"/>
                <w:szCs w:val="21"/>
              </w:rPr>
            </w:pPr>
          </w:p>
        </w:tc>
        <w:tc>
          <w:tcPr>
            <w:tcW w:w="5567" w:type="dxa"/>
          </w:tcPr>
          <w:p w14:paraId="2BCE6CA6" w14:textId="4CBF9AB7" w:rsidR="00B63157" w:rsidRPr="00CF5866" w:rsidRDefault="00CF5866" w:rsidP="003B3AB8">
            <w:pPr>
              <w:pStyle w:val="Sansinterligne"/>
              <w:spacing w:line="276" w:lineRule="auto"/>
              <w:jc w:val="right"/>
              <w:rPr>
                <w:rFonts w:asciiTheme="minorHAnsi" w:hAnsiTheme="minorHAnsi" w:cstheme="minorHAnsi"/>
                <w:sz w:val="21"/>
                <w:szCs w:val="21"/>
              </w:rPr>
            </w:pPr>
            <w:r w:rsidRPr="00CF5866">
              <w:rPr>
                <w:rFonts w:asciiTheme="minorHAnsi" w:hAnsiTheme="minorHAnsi" w:cstheme="minorHAnsi"/>
                <w:noProof/>
                <w:sz w:val="21"/>
                <w:szCs w:val="21"/>
                <w:lang w:eastAsia="fr-FR"/>
              </w:rPr>
              <w:drawing>
                <wp:inline distT="0" distB="0" distL="0" distR="0" wp14:anchorId="1AF6FD20" wp14:editId="2F939B75">
                  <wp:extent cx="876300" cy="923925"/>
                  <wp:effectExtent l="0" t="0" r="0" b="0"/>
                  <wp:docPr id="3" name="Image 4" descr="VIDEO : LINKY - Tout ce que vous devez savoir sur les compteurs communicants LINKY, Gazpar et cie, et sur les différentes façons de les refuser - Stéphane Lhomme - Dé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IDEO : LINKY - Tout ce que vous devez savoir sur les compteurs communicants LINKY, Gazpar et cie, et sur les différentes façons de les refuser - Stéphane Lhomme - Déc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r>
    </w:tbl>
    <w:p w14:paraId="166AA411" w14:textId="77777777" w:rsidR="00B63157" w:rsidRPr="00CF5866" w:rsidRDefault="00B63157" w:rsidP="00B63157">
      <w:pPr>
        <w:pStyle w:val="Sansinterligne"/>
        <w:spacing w:line="276" w:lineRule="auto"/>
        <w:ind w:left="5664"/>
        <w:jc w:val="both"/>
        <w:rPr>
          <w:rFonts w:asciiTheme="minorHAnsi" w:eastAsia="Times New Roman" w:hAnsiTheme="minorHAnsi" w:cstheme="minorHAnsi"/>
          <w:b/>
          <w:bCs/>
          <w:color w:val="000000"/>
          <w:sz w:val="21"/>
          <w:szCs w:val="21"/>
          <w:lang w:eastAsia="fr-FR"/>
        </w:rPr>
      </w:pPr>
      <w:r w:rsidRPr="00CF5866">
        <w:rPr>
          <w:rFonts w:asciiTheme="minorHAnsi" w:eastAsia="Times New Roman" w:hAnsiTheme="minorHAnsi" w:cstheme="minorHAnsi"/>
          <w:b/>
          <w:bCs/>
          <w:color w:val="000000"/>
          <w:sz w:val="21"/>
          <w:szCs w:val="21"/>
          <w:lang w:eastAsia="fr-FR"/>
        </w:rPr>
        <w:t xml:space="preserve">Mairie de </w:t>
      </w:r>
      <w:r w:rsidRPr="00CF5866">
        <w:rPr>
          <w:rFonts w:asciiTheme="minorHAnsi" w:eastAsia="Times New Roman" w:hAnsiTheme="minorHAnsi" w:cstheme="minorHAnsi"/>
          <w:b/>
          <w:bCs/>
          <w:color w:val="D9D9D9"/>
          <w:sz w:val="21"/>
          <w:szCs w:val="21"/>
          <w:lang w:eastAsia="fr-FR"/>
        </w:rPr>
        <w:t>…………………………………….</w:t>
      </w:r>
    </w:p>
    <w:p w14:paraId="1424DFA5" w14:textId="77777777" w:rsidR="00B63157" w:rsidRPr="00CF5866" w:rsidRDefault="00B63157" w:rsidP="00B63157">
      <w:pPr>
        <w:pStyle w:val="Sansinterligne"/>
        <w:spacing w:line="276" w:lineRule="auto"/>
        <w:ind w:left="5664"/>
        <w:jc w:val="both"/>
        <w:rPr>
          <w:rFonts w:asciiTheme="minorHAnsi" w:eastAsia="Times New Roman" w:hAnsiTheme="minorHAnsi" w:cstheme="minorHAnsi"/>
          <w:b/>
          <w:bCs/>
          <w:color w:val="000000"/>
          <w:sz w:val="21"/>
          <w:szCs w:val="21"/>
          <w:lang w:eastAsia="fr-FR"/>
        </w:rPr>
      </w:pPr>
    </w:p>
    <w:p w14:paraId="65A46AA5" w14:textId="77777777" w:rsidR="00B63157" w:rsidRPr="00CF5866" w:rsidRDefault="00B63157" w:rsidP="00B63157">
      <w:pPr>
        <w:pStyle w:val="Sansinterligne"/>
        <w:spacing w:line="276" w:lineRule="auto"/>
        <w:ind w:left="-709"/>
        <w:jc w:val="both"/>
        <w:rPr>
          <w:rFonts w:asciiTheme="minorHAnsi" w:eastAsia="Times New Roman" w:hAnsiTheme="minorHAnsi" w:cstheme="minorHAnsi"/>
          <w:b/>
          <w:bCs/>
          <w:color w:val="000000"/>
          <w:sz w:val="21"/>
          <w:szCs w:val="21"/>
          <w:lang w:eastAsia="fr-FR"/>
        </w:rPr>
      </w:pPr>
    </w:p>
    <w:p w14:paraId="6F9C3480" w14:textId="77777777" w:rsidR="00B63157" w:rsidRPr="00CF5866" w:rsidRDefault="00B63157" w:rsidP="00B63157">
      <w:pPr>
        <w:pStyle w:val="Sansinterligne"/>
        <w:spacing w:line="276" w:lineRule="auto"/>
        <w:ind w:left="-709"/>
        <w:jc w:val="both"/>
        <w:rPr>
          <w:rFonts w:asciiTheme="minorHAnsi" w:hAnsiTheme="minorHAnsi" w:cstheme="minorHAnsi"/>
          <w:sz w:val="21"/>
          <w:szCs w:val="21"/>
        </w:rPr>
      </w:pPr>
      <w:r w:rsidRPr="00CF5866">
        <w:rPr>
          <w:rFonts w:asciiTheme="minorHAnsi" w:eastAsia="Times New Roman" w:hAnsiTheme="minorHAnsi" w:cstheme="minorHAnsi"/>
          <w:color w:val="000000"/>
          <w:sz w:val="21"/>
          <w:szCs w:val="21"/>
          <w:u w:val="single"/>
          <w:lang w:eastAsia="fr-FR"/>
        </w:rPr>
        <w:t>Objet</w:t>
      </w:r>
      <w:r w:rsidRPr="00CF5866">
        <w:rPr>
          <w:rFonts w:asciiTheme="minorHAnsi" w:eastAsia="Times New Roman" w:hAnsiTheme="minorHAnsi" w:cstheme="minorHAnsi"/>
          <w:color w:val="000000"/>
          <w:sz w:val="21"/>
          <w:szCs w:val="21"/>
          <w:lang w:eastAsia="fr-FR"/>
        </w:rPr>
        <w:t> :</w:t>
      </w:r>
      <w:r w:rsidRPr="00CF5866">
        <w:rPr>
          <w:rFonts w:asciiTheme="minorHAnsi" w:hAnsiTheme="minorHAnsi" w:cstheme="minorHAnsi"/>
          <w:sz w:val="21"/>
          <w:szCs w:val="21"/>
        </w:rPr>
        <w:t xml:space="preserve"> </w:t>
      </w:r>
    </w:p>
    <w:p w14:paraId="5696F64E" w14:textId="77777777" w:rsidR="00B63157" w:rsidRPr="00CF5866" w:rsidRDefault="00B63157" w:rsidP="00B63157">
      <w:pPr>
        <w:pStyle w:val="Sansinterligne"/>
        <w:spacing w:line="276" w:lineRule="auto"/>
        <w:ind w:left="-709"/>
        <w:jc w:val="both"/>
        <w:rPr>
          <w:rFonts w:asciiTheme="minorHAnsi" w:eastAsia="Times New Roman" w:hAnsiTheme="minorHAnsi" w:cstheme="minorHAnsi"/>
          <w:color w:val="000000"/>
          <w:sz w:val="21"/>
          <w:szCs w:val="21"/>
          <w:lang w:eastAsia="fr-FR"/>
        </w:rPr>
      </w:pPr>
      <w:r w:rsidRPr="00CF5866">
        <w:rPr>
          <w:rFonts w:asciiTheme="minorHAnsi" w:hAnsiTheme="minorHAnsi" w:cstheme="minorHAnsi"/>
          <w:sz w:val="21"/>
          <w:szCs w:val="21"/>
        </w:rPr>
        <w:t>Refus du dispositif OU capteur de données « Linky »</w:t>
      </w:r>
      <w:r w:rsidRPr="00CF5866">
        <w:rPr>
          <w:rFonts w:asciiTheme="minorHAnsi" w:eastAsia="Times New Roman" w:hAnsiTheme="minorHAnsi" w:cstheme="minorHAnsi"/>
          <w:color w:val="000000"/>
          <w:sz w:val="21"/>
          <w:szCs w:val="21"/>
          <w:lang w:eastAsia="fr-FR"/>
        </w:rPr>
        <w:t xml:space="preserve"> </w:t>
      </w:r>
    </w:p>
    <w:p w14:paraId="7873E613" w14:textId="77777777" w:rsidR="00B63157" w:rsidRPr="00CF5866" w:rsidRDefault="00B63157" w:rsidP="00B63157">
      <w:pPr>
        <w:pStyle w:val="Sansinterligne"/>
        <w:spacing w:line="276" w:lineRule="auto"/>
        <w:ind w:left="-709"/>
        <w:jc w:val="both"/>
        <w:rPr>
          <w:rFonts w:asciiTheme="minorHAnsi" w:hAnsiTheme="minorHAnsi" w:cstheme="minorHAnsi"/>
          <w:sz w:val="21"/>
          <w:szCs w:val="21"/>
        </w:rPr>
      </w:pPr>
      <w:r w:rsidRPr="00CF5866">
        <w:rPr>
          <w:rFonts w:asciiTheme="minorHAnsi" w:eastAsia="Times New Roman" w:hAnsiTheme="minorHAnsi" w:cstheme="minorHAnsi"/>
          <w:color w:val="000000"/>
          <w:sz w:val="21"/>
          <w:szCs w:val="21"/>
          <w:lang w:eastAsia="fr-FR"/>
        </w:rPr>
        <w:t>A</w:t>
      </w:r>
      <w:r w:rsidRPr="00CF5866">
        <w:rPr>
          <w:rFonts w:asciiTheme="minorHAnsi" w:hAnsiTheme="minorHAnsi" w:cstheme="minorHAnsi"/>
          <w:sz w:val="21"/>
          <w:szCs w:val="21"/>
        </w:rPr>
        <w:t>ctions à entreprendre</w:t>
      </w:r>
    </w:p>
    <w:p w14:paraId="061E7C6C" w14:textId="77777777" w:rsidR="00B63157" w:rsidRPr="00CF5866" w:rsidRDefault="00B63157" w:rsidP="00B63157">
      <w:pPr>
        <w:pStyle w:val="Sansinterligne"/>
        <w:ind w:left="5664"/>
        <w:jc w:val="both"/>
        <w:rPr>
          <w:rFonts w:asciiTheme="minorHAnsi" w:hAnsiTheme="minorHAnsi" w:cstheme="minorHAnsi"/>
          <w:color w:val="000000"/>
          <w:sz w:val="21"/>
          <w:szCs w:val="21"/>
        </w:rPr>
      </w:pPr>
      <w:r w:rsidRPr="00CF5866">
        <w:rPr>
          <w:rFonts w:asciiTheme="minorHAnsi" w:hAnsiTheme="minorHAnsi" w:cstheme="minorHAnsi"/>
          <w:color w:val="000000"/>
          <w:sz w:val="21"/>
          <w:szCs w:val="21"/>
        </w:rPr>
        <w:t xml:space="preserve">A </w:t>
      </w:r>
    </w:p>
    <w:p w14:paraId="5A97E68B" w14:textId="3D0F2F88" w:rsidR="00B63157" w:rsidRPr="00CF5866" w:rsidRDefault="00B63157" w:rsidP="00B63157">
      <w:pPr>
        <w:pStyle w:val="Sansinterligne"/>
        <w:ind w:left="5664"/>
        <w:jc w:val="both"/>
        <w:rPr>
          <w:rFonts w:asciiTheme="minorHAnsi" w:hAnsiTheme="minorHAnsi" w:cstheme="minorHAnsi"/>
          <w:color w:val="000000"/>
          <w:sz w:val="21"/>
          <w:szCs w:val="21"/>
        </w:rPr>
      </w:pPr>
      <w:r w:rsidRPr="00CF5866">
        <w:rPr>
          <w:rFonts w:asciiTheme="minorHAnsi" w:hAnsiTheme="minorHAnsi" w:cstheme="minorHAnsi"/>
          <w:color w:val="000000"/>
          <w:sz w:val="21"/>
          <w:szCs w:val="21"/>
        </w:rPr>
        <w:t xml:space="preserve">Le </w:t>
      </w:r>
      <w:r w:rsidRPr="00CF5866">
        <w:rPr>
          <w:rFonts w:asciiTheme="minorHAnsi" w:hAnsiTheme="minorHAnsi" w:cstheme="minorHAnsi"/>
          <w:color w:val="D9D9D9"/>
          <w:sz w:val="21"/>
          <w:szCs w:val="21"/>
        </w:rPr>
        <w:t>………………</w:t>
      </w:r>
      <w:r w:rsidR="00F62057">
        <w:rPr>
          <w:rFonts w:asciiTheme="minorHAnsi" w:hAnsiTheme="minorHAnsi" w:cstheme="minorHAnsi"/>
          <w:color w:val="D9D9D9"/>
          <w:sz w:val="21"/>
          <w:szCs w:val="21"/>
        </w:rPr>
        <w:t>…</w:t>
      </w:r>
      <w:r w:rsidRPr="00CF5866">
        <w:rPr>
          <w:rFonts w:asciiTheme="minorHAnsi" w:hAnsiTheme="minorHAnsi" w:cstheme="minorHAnsi"/>
          <w:color w:val="D9D9D9"/>
          <w:sz w:val="21"/>
          <w:szCs w:val="21"/>
        </w:rPr>
        <w:t>…</w:t>
      </w:r>
      <w:proofErr w:type="gramStart"/>
      <w:r w:rsidRPr="00CF5866">
        <w:rPr>
          <w:rFonts w:asciiTheme="minorHAnsi" w:hAnsiTheme="minorHAnsi" w:cstheme="minorHAnsi"/>
          <w:color w:val="D9D9D9"/>
          <w:sz w:val="21"/>
          <w:szCs w:val="21"/>
        </w:rPr>
        <w:t>…….</w:t>
      </w:r>
      <w:proofErr w:type="gramEnd"/>
      <w:r w:rsidRPr="00CF5866">
        <w:rPr>
          <w:rFonts w:asciiTheme="minorHAnsi" w:hAnsiTheme="minorHAnsi" w:cstheme="minorHAnsi"/>
          <w:color w:val="D9D9D9"/>
          <w:sz w:val="21"/>
          <w:szCs w:val="21"/>
        </w:rPr>
        <w:t>.…………</w:t>
      </w:r>
      <w:r w:rsidRPr="00CF5866">
        <w:rPr>
          <w:rFonts w:asciiTheme="minorHAnsi" w:hAnsiTheme="minorHAnsi" w:cstheme="minorHAnsi"/>
          <w:color w:val="000000"/>
          <w:sz w:val="21"/>
          <w:szCs w:val="21"/>
        </w:rPr>
        <w:t xml:space="preserve"> 20</w:t>
      </w:r>
      <w:r w:rsidR="00F27EF5">
        <w:rPr>
          <w:rFonts w:asciiTheme="minorHAnsi" w:hAnsiTheme="minorHAnsi" w:cstheme="minorHAnsi"/>
          <w:color w:val="000000"/>
          <w:sz w:val="21"/>
          <w:szCs w:val="21"/>
        </w:rPr>
        <w:t>20</w:t>
      </w:r>
    </w:p>
    <w:p w14:paraId="10743BE4" w14:textId="77777777" w:rsidR="00B63157" w:rsidRPr="00CF5866" w:rsidRDefault="00B63157" w:rsidP="00B63157">
      <w:pPr>
        <w:pStyle w:val="Sansinterligne"/>
        <w:spacing w:line="276" w:lineRule="auto"/>
        <w:ind w:left="5664"/>
        <w:jc w:val="both"/>
        <w:rPr>
          <w:rFonts w:asciiTheme="minorHAnsi" w:hAnsiTheme="minorHAnsi" w:cstheme="minorHAnsi"/>
          <w:sz w:val="21"/>
          <w:szCs w:val="21"/>
        </w:rPr>
      </w:pPr>
    </w:p>
    <w:p w14:paraId="562A41B0" w14:textId="77777777" w:rsidR="00B63157" w:rsidRPr="00CF5866" w:rsidRDefault="00B63157" w:rsidP="00B63157">
      <w:pPr>
        <w:pStyle w:val="Sansinterligne"/>
        <w:spacing w:line="276" w:lineRule="auto"/>
        <w:ind w:left="5664"/>
        <w:jc w:val="both"/>
        <w:rPr>
          <w:rFonts w:asciiTheme="minorHAnsi" w:hAnsiTheme="minorHAnsi" w:cstheme="minorHAnsi"/>
          <w:sz w:val="21"/>
          <w:szCs w:val="21"/>
        </w:rPr>
      </w:pPr>
    </w:p>
    <w:p w14:paraId="26ADB811" w14:textId="77777777" w:rsidR="00B63157" w:rsidRPr="00CF5866" w:rsidRDefault="00B63157" w:rsidP="00B63157">
      <w:pPr>
        <w:pStyle w:val="Sansinterligne"/>
        <w:spacing w:line="276" w:lineRule="auto"/>
        <w:ind w:left="-709"/>
        <w:jc w:val="both"/>
        <w:rPr>
          <w:rFonts w:asciiTheme="minorHAnsi" w:hAnsiTheme="minorHAnsi" w:cstheme="minorHAnsi"/>
          <w:i/>
          <w:sz w:val="21"/>
          <w:szCs w:val="21"/>
          <w:u w:val="single"/>
        </w:rPr>
      </w:pPr>
      <w:r w:rsidRPr="00CF5866">
        <w:rPr>
          <w:rFonts w:asciiTheme="minorHAnsi" w:hAnsiTheme="minorHAnsi" w:cstheme="minorHAnsi"/>
          <w:i/>
          <w:sz w:val="21"/>
          <w:szCs w:val="21"/>
          <w:u w:val="single"/>
        </w:rPr>
        <w:t>A l’attention de Monsieur le Maire et Mesdames, Messieurs les Conseillers Municipaux</w:t>
      </w:r>
    </w:p>
    <w:p w14:paraId="1BA57391" w14:textId="77777777" w:rsidR="007750FF" w:rsidRPr="00CF5866" w:rsidRDefault="007750FF">
      <w:pPr>
        <w:pStyle w:val="Pardfaut"/>
        <w:rPr>
          <w:rFonts w:asciiTheme="minorHAnsi" w:eastAsia="Helvetica" w:hAnsiTheme="minorHAnsi" w:cstheme="minorHAnsi"/>
          <w:color w:val="auto"/>
          <w:sz w:val="21"/>
          <w:szCs w:val="21"/>
        </w:rPr>
      </w:pPr>
    </w:p>
    <w:p w14:paraId="354F493C" w14:textId="77777777" w:rsidR="007750FF" w:rsidRPr="00CF5866" w:rsidRDefault="007750FF">
      <w:pPr>
        <w:pStyle w:val="Pardfaut"/>
        <w:rPr>
          <w:rFonts w:asciiTheme="minorHAnsi" w:eastAsia="Helvetica" w:hAnsiTheme="minorHAnsi" w:cstheme="minorHAnsi"/>
          <w:color w:val="auto"/>
          <w:sz w:val="21"/>
          <w:szCs w:val="21"/>
        </w:rPr>
      </w:pPr>
    </w:p>
    <w:p w14:paraId="0812EE32" w14:textId="12963C4C" w:rsidR="007750FF" w:rsidRPr="00CF5866" w:rsidRDefault="002A7251">
      <w:pPr>
        <w:pStyle w:val="Pardfaut"/>
        <w:rPr>
          <w:rFonts w:asciiTheme="minorHAnsi" w:hAnsiTheme="minorHAnsi" w:cstheme="minorHAnsi"/>
          <w:sz w:val="21"/>
          <w:szCs w:val="21"/>
        </w:rPr>
      </w:pPr>
      <w:r w:rsidRPr="00CF5866">
        <w:rPr>
          <w:rFonts w:asciiTheme="minorHAnsi" w:hAnsiTheme="minorHAnsi" w:cstheme="minorHAnsi"/>
          <w:color w:val="auto"/>
          <w:sz w:val="21"/>
          <w:szCs w:val="21"/>
        </w:rPr>
        <w:t>Madame, Monsieur le Maire, Mesdames et Messieurs les Conseillers Municipaux,</w:t>
      </w:r>
    </w:p>
    <w:p w14:paraId="5948B3B4" w14:textId="77777777" w:rsidR="007750FF" w:rsidRPr="00CF5866" w:rsidRDefault="007750FF">
      <w:pPr>
        <w:pStyle w:val="Pardfaut"/>
        <w:rPr>
          <w:rFonts w:asciiTheme="minorHAnsi" w:eastAsia="Helvetica" w:hAnsiTheme="minorHAnsi" w:cstheme="minorHAnsi"/>
          <w:color w:val="auto"/>
          <w:sz w:val="21"/>
          <w:szCs w:val="21"/>
        </w:rPr>
      </w:pPr>
    </w:p>
    <w:p w14:paraId="3548D90A" w14:textId="2893E3B0"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Je me permets de vous solliciter concernant les compteurs communicants Linky qui doivent être installés prochainement sur la Commune.</w:t>
      </w:r>
      <w:r w:rsidR="00CF5866"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Cette installation soulève bon nombre de préoccupations sur lesquelles il est nécessaire de se pencher.</w:t>
      </w:r>
    </w:p>
    <w:p w14:paraId="46BB1273" w14:textId="77777777" w:rsidR="007750FF" w:rsidRPr="00CF5866" w:rsidRDefault="007750FF">
      <w:pPr>
        <w:pStyle w:val="Pardfaut"/>
        <w:jc w:val="both"/>
        <w:rPr>
          <w:rFonts w:asciiTheme="minorHAnsi" w:eastAsia="Helvetica" w:hAnsiTheme="minorHAnsi" w:cstheme="minorHAnsi"/>
          <w:color w:val="auto"/>
          <w:sz w:val="21"/>
          <w:szCs w:val="21"/>
        </w:rPr>
      </w:pPr>
    </w:p>
    <w:p w14:paraId="11BF9A00" w14:textId="77777777" w:rsidR="007750FF" w:rsidRPr="00CF5866" w:rsidRDefault="002A7251">
      <w:pPr>
        <w:pStyle w:val="Pardfaut"/>
        <w:jc w:val="both"/>
        <w:rPr>
          <w:rFonts w:asciiTheme="minorHAnsi" w:hAnsiTheme="minorHAnsi" w:cstheme="minorHAnsi"/>
          <w:sz w:val="21"/>
          <w:szCs w:val="21"/>
        </w:rPr>
      </w:pPr>
      <w:r w:rsidRPr="00CF5866">
        <w:rPr>
          <w:rStyle w:val="Aucune"/>
          <w:rFonts w:asciiTheme="minorHAnsi" w:hAnsiTheme="minorHAnsi" w:cstheme="minorHAnsi"/>
          <w:b/>
          <w:iCs/>
          <w:color w:val="auto"/>
          <w:sz w:val="21"/>
          <w:szCs w:val="21"/>
          <w:lang w:val="fr-FR"/>
        </w:rPr>
        <w:t>1. Obligation de déploiement n’implique pas obligation d’acceptation pour l’usag</w:t>
      </w:r>
      <w:r w:rsidRPr="00CF5866">
        <w:rPr>
          <w:rFonts w:asciiTheme="minorHAnsi" w:hAnsiTheme="minorHAnsi" w:cstheme="minorHAnsi"/>
          <w:b/>
          <w:color w:val="auto"/>
          <w:sz w:val="21"/>
          <w:szCs w:val="21"/>
        </w:rPr>
        <w:t>er.</w:t>
      </w:r>
    </w:p>
    <w:p w14:paraId="637D4AA0" w14:textId="079D1146" w:rsidR="007750FF" w:rsidRPr="00144DA1" w:rsidRDefault="002A7251">
      <w:pPr>
        <w:pStyle w:val="Pardfaut"/>
        <w:jc w:val="both"/>
        <w:rPr>
          <w:rFonts w:asciiTheme="minorHAnsi" w:hAnsiTheme="minorHAnsi" w:cstheme="minorHAnsi"/>
          <w:b/>
          <w:bCs/>
          <w:sz w:val="21"/>
          <w:szCs w:val="21"/>
        </w:rPr>
      </w:pPr>
      <w:r w:rsidRPr="00CF5866">
        <w:rPr>
          <w:rFonts w:asciiTheme="minorHAnsi" w:hAnsiTheme="minorHAnsi" w:cstheme="minorHAnsi"/>
          <w:color w:val="auto"/>
          <w:sz w:val="21"/>
          <w:szCs w:val="21"/>
        </w:rPr>
        <w:t>Le déploiement de ces compteurs communicants a été décidé sans consultation préalable du public et il s’opère aujourd’hui, à marche forcée, sans que le consentement des personnes ne soit recueilli.</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Il en résulte que la décision de déployer ces compteurs communicants (R. 341-4 du code de l’énergie) et celle fixant le calendrier de ce déploiement (R. 341-8 du code de l’énergie) ont été prises au terme d’une procédure irrégulière, ce qui doit vous faire conclure à leur illégalité.</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Il ne peut donc pas être valablement soutenu qu’il existerait une obligation légale de déployer ces compteurs, et ce d’autant moins que leur fonctionnement ne permet pas de garantir suffisamment le droit des personnes</w:t>
      </w:r>
      <w:r w:rsidRPr="00144DA1">
        <w:rPr>
          <w:rFonts w:asciiTheme="minorHAnsi" w:hAnsiTheme="minorHAnsi" w:cstheme="minorHAnsi"/>
          <w:b/>
          <w:bCs/>
          <w:color w:val="auto"/>
          <w:sz w:val="21"/>
          <w:szCs w:val="21"/>
        </w:rPr>
        <w:t>.</w:t>
      </w:r>
      <w:r w:rsidR="00144DA1" w:rsidRPr="00144DA1">
        <w:rPr>
          <w:rFonts w:asciiTheme="minorHAnsi" w:hAnsiTheme="minorHAnsi" w:cstheme="minorHAnsi"/>
          <w:b/>
          <w:bCs/>
          <w:color w:val="auto"/>
          <w:sz w:val="21"/>
          <w:szCs w:val="21"/>
        </w:rPr>
        <w:t xml:space="preserve"> Ceci a été confirmé par l’arrêt de la Cour d’Appel de Bordeaux le 17/12/2020. </w:t>
      </w:r>
    </w:p>
    <w:p w14:paraId="58A4D7C1" w14:textId="77777777" w:rsidR="007750FF" w:rsidRPr="00CF5866" w:rsidRDefault="007750FF">
      <w:pPr>
        <w:pStyle w:val="Pardfaut"/>
        <w:jc w:val="both"/>
        <w:rPr>
          <w:rFonts w:asciiTheme="minorHAnsi" w:eastAsia="Helvetica" w:hAnsiTheme="minorHAnsi" w:cstheme="minorHAnsi"/>
          <w:color w:val="auto"/>
          <w:sz w:val="21"/>
          <w:szCs w:val="21"/>
        </w:rPr>
      </w:pPr>
    </w:p>
    <w:p w14:paraId="46F5FC14" w14:textId="77777777"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b/>
          <w:iCs/>
          <w:color w:val="auto"/>
          <w:sz w:val="21"/>
          <w:szCs w:val="21"/>
        </w:rPr>
        <w:t>2. Propri</w:t>
      </w:r>
      <w:r w:rsidRPr="00CF5866">
        <w:rPr>
          <w:rFonts w:asciiTheme="minorHAnsi" w:hAnsiTheme="minorHAnsi" w:cstheme="minorHAnsi"/>
          <w:b/>
          <w:iCs/>
          <w:color w:val="auto"/>
          <w:sz w:val="21"/>
          <w:szCs w:val="21"/>
        </w:rPr>
        <w:t>été des compteurs</w:t>
      </w:r>
    </w:p>
    <w:p w14:paraId="53BEA9C4" w14:textId="1F99BF4F"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Ces compteurs sont la propriété des autorités concédantes, en application de l’article L.322-4 du code de l’énergie, au nombre desquelles figurent les Communes.</w:t>
      </w:r>
      <w:r w:rsidR="00B63157" w:rsidRPr="00CF5866">
        <w:rPr>
          <w:rFonts w:asciiTheme="minorHAnsi" w:hAnsiTheme="minorHAnsi" w:cstheme="minorHAnsi"/>
          <w:color w:val="auto"/>
          <w:sz w:val="21"/>
          <w:szCs w:val="21"/>
        </w:rPr>
        <w:t xml:space="preserve"> Les syndicats d’énergie ou Enedis</w:t>
      </w:r>
      <w:r w:rsidRPr="00CF5866">
        <w:rPr>
          <w:rFonts w:asciiTheme="minorHAnsi" w:hAnsiTheme="minorHAnsi" w:cstheme="minorHAnsi"/>
          <w:color w:val="auto"/>
          <w:sz w:val="21"/>
          <w:szCs w:val="21"/>
        </w:rPr>
        <w:t xml:space="preserve"> n’en </w:t>
      </w:r>
      <w:r w:rsidR="00B63157" w:rsidRPr="00CF5866">
        <w:rPr>
          <w:rFonts w:asciiTheme="minorHAnsi" w:hAnsiTheme="minorHAnsi" w:cstheme="minorHAnsi"/>
          <w:color w:val="auto"/>
          <w:sz w:val="21"/>
          <w:szCs w:val="21"/>
        </w:rPr>
        <w:t xml:space="preserve">sont </w:t>
      </w:r>
      <w:r w:rsidRPr="00CF5866">
        <w:rPr>
          <w:rFonts w:asciiTheme="minorHAnsi" w:hAnsiTheme="minorHAnsi" w:cstheme="minorHAnsi"/>
          <w:color w:val="auto"/>
          <w:sz w:val="21"/>
          <w:szCs w:val="21"/>
        </w:rPr>
        <w:t xml:space="preserve">que le gestionnaire. Aussi, en tant que propriétaire, il vous revient de préserver les biens du domaine public de la Commune et seul le Conseil municipal peut se prononcer sur la désaffectation et le déclassement des compteurs existants. Or, il apparaît que la Commune n’a pas été consultée sur cette élimination des compteurs existants. </w:t>
      </w:r>
    </w:p>
    <w:p w14:paraId="5483AD7A" w14:textId="77777777" w:rsidR="007750FF" w:rsidRPr="00CF5866" w:rsidRDefault="007750FF">
      <w:pPr>
        <w:pStyle w:val="Pardfaut"/>
        <w:jc w:val="both"/>
        <w:rPr>
          <w:rFonts w:asciiTheme="minorHAnsi" w:eastAsia="Helvetica" w:hAnsiTheme="minorHAnsi" w:cstheme="minorHAnsi"/>
          <w:b/>
          <w:color w:val="auto"/>
          <w:sz w:val="21"/>
          <w:szCs w:val="21"/>
        </w:rPr>
      </w:pPr>
    </w:p>
    <w:p w14:paraId="5AA30307" w14:textId="77777777"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b/>
          <w:color w:val="auto"/>
          <w:sz w:val="21"/>
          <w:szCs w:val="21"/>
        </w:rPr>
        <w:t xml:space="preserve">3. </w:t>
      </w:r>
      <w:r w:rsidRPr="00CF5866">
        <w:rPr>
          <w:rStyle w:val="Aucune"/>
          <w:rFonts w:asciiTheme="minorHAnsi" w:hAnsiTheme="minorHAnsi" w:cstheme="minorHAnsi"/>
          <w:b/>
          <w:iCs/>
          <w:color w:val="auto"/>
          <w:sz w:val="21"/>
          <w:szCs w:val="21"/>
          <w:lang w:val="fr-FR"/>
        </w:rPr>
        <w:t>De la nécessité d’un tel saut technologique</w:t>
      </w:r>
    </w:p>
    <w:p w14:paraId="3AB7F7FD" w14:textId="77777777"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Il faut souligner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w:t>
      </w:r>
    </w:p>
    <w:p w14:paraId="38AC10B1" w14:textId="6D48BA41"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Le Compteur Blanc Électronique (CBE dernière génération avant Linky) est capable d’assurer les mêmes fonctionnalités de relève à distance que le compteur Linky.</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 xml:space="preserve">Ce saut technologique est donc inutile, peu écologique et contraire à la loi sur l‘obsolescence programmée. </w:t>
      </w:r>
    </w:p>
    <w:p w14:paraId="3C092FEA" w14:textId="77777777" w:rsidR="007750FF" w:rsidRPr="00CF5866" w:rsidRDefault="007750FF">
      <w:pPr>
        <w:pStyle w:val="Pardfaut"/>
        <w:jc w:val="both"/>
        <w:rPr>
          <w:rFonts w:asciiTheme="minorHAnsi" w:eastAsia="Helvetica" w:hAnsiTheme="minorHAnsi" w:cstheme="minorHAnsi"/>
          <w:i/>
          <w:iCs/>
          <w:color w:val="auto"/>
          <w:sz w:val="21"/>
          <w:szCs w:val="21"/>
        </w:rPr>
      </w:pPr>
    </w:p>
    <w:p w14:paraId="47800723" w14:textId="77777777"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b/>
          <w:color w:val="auto"/>
          <w:sz w:val="21"/>
          <w:szCs w:val="21"/>
        </w:rPr>
        <w:t xml:space="preserve">4. </w:t>
      </w:r>
      <w:r w:rsidRPr="00CF5866">
        <w:rPr>
          <w:rStyle w:val="Aucune"/>
          <w:rFonts w:asciiTheme="minorHAnsi" w:hAnsiTheme="minorHAnsi" w:cstheme="minorHAnsi"/>
          <w:b/>
          <w:iCs/>
          <w:color w:val="auto"/>
          <w:sz w:val="21"/>
          <w:szCs w:val="21"/>
          <w:lang w:val="fr-FR"/>
        </w:rPr>
        <w:t>Données personnelles et vie privée</w:t>
      </w:r>
    </w:p>
    <w:p w14:paraId="3FDDB9AC" w14:textId="25DCF694"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Ces compteurs permettent de collecter les données de consommation, qui seront retransmises vers les centres de traitement d’Enedis, normalement à des fins de facturation. Une partie de ces données doit permettre d’établir la courbe de charge, consultable par l’usager à J+1 sur un site internet dédié, et l’article R. 341-5 du code de l’énergie accorde aux personnes la libre disposition de leurs données personnelles. Cependant, ce droit apparaît difficile à </w:t>
      </w:r>
      <w:r w:rsidRPr="00CF5866">
        <w:rPr>
          <w:rFonts w:asciiTheme="minorHAnsi" w:hAnsiTheme="minorHAnsi" w:cstheme="minorHAnsi"/>
          <w:color w:val="auto"/>
          <w:sz w:val="21"/>
          <w:szCs w:val="21"/>
        </w:rPr>
        <w:lastRenderedPageBreak/>
        <w:t>exercer, car le déploiement des compteurs n’a pas été conduit jusqu’à présent en respectant strictement les exigences énoncées par la CNIL.</w:t>
      </w:r>
      <w:r w:rsidR="00CF5866"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En effet, le consentement des usagers pour la transmission de leur courbe de charge à des tiers n’est pas recueilli par le gestionnaire du réseau, contrairement à l’exigence de la CNIL du 15/11/2012 : « </w:t>
      </w:r>
      <w:r w:rsidRPr="00CF5866">
        <w:rPr>
          <w:rFonts w:asciiTheme="minorHAnsi" w:hAnsiTheme="minorHAnsi" w:cstheme="minorHAnsi"/>
          <w:i/>
          <w:sz w:val="21"/>
          <w:szCs w:val="21"/>
        </w:rPr>
        <w:t>Ce consentement doit être libre, éclairé et spécifique.</w:t>
      </w:r>
      <w:r w:rsidRPr="00CF5866">
        <w:rPr>
          <w:rFonts w:asciiTheme="minorHAnsi" w:hAnsiTheme="minorHAnsi" w:cstheme="minorHAnsi"/>
          <w:sz w:val="21"/>
          <w:szCs w:val="21"/>
        </w:rPr>
        <w:t> »</w:t>
      </w:r>
      <w:r w:rsidRPr="00CF5866">
        <w:rPr>
          <w:rFonts w:asciiTheme="minorHAnsi" w:hAnsiTheme="minorHAnsi" w:cstheme="minorHAnsi"/>
          <w:color w:val="auto"/>
          <w:sz w:val="21"/>
          <w:szCs w:val="21"/>
        </w:rPr>
        <w:t xml:space="preserve"> et rappelé par l’article 4 du RGPD. </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Le déploiement d’un dispositif de collecte de données personnelles qui ne respecte pas les recommandations de la CNIL constitue une atteinte à la tranquillité publique qu’il appartient au Maire de prévenir, en vertu de ses pouvoirs de police.</w:t>
      </w:r>
      <w:r w:rsidR="00CF5866"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Dans ce contexte, il est urgent de formuler auprès de la CNIL une demande de vérification de la régularité du déploiement du compteur Linky et de suspendre, par arrêté, le déploiement de ce compteur pendant le temps nécessaire à cette vérification.</w:t>
      </w:r>
    </w:p>
    <w:p w14:paraId="3828D0D4" w14:textId="77777777"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color w:val="auto"/>
          <w:sz w:val="21"/>
          <w:szCs w:val="21"/>
        </w:rPr>
        <w:tab/>
      </w:r>
    </w:p>
    <w:p w14:paraId="10E02A96" w14:textId="77777777"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b/>
          <w:color w:val="auto"/>
          <w:sz w:val="21"/>
          <w:szCs w:val="21"/>
        </w:rPr>
        <w:t xml:space="preserve">5. </w:t>
      </w:r>
      <w:r w:rsidRPr="00CF5866">
        <w:rPr>
          <w:rStyle w:val="Aucune"/>
          <w:rFonts w:asciiTheme="minorHAnsi" w:hAnsiTheme="minorHAnsi" w:cstheme="minorHAnsi"/>
          <w:b/>
          <w:iCs/>
          <w:color w:val="auto"/>
          <w:sz w:val="21"/>
          <w:szCs w:val="21"/>
          <w:lang w:val="fr-FR"/>
        </w:rPr>
        <w:t>Servitude et usufruit</w:t>
      </w:r>
    </w:p>
    <w:p w14:paraId="75AC6252" w14:textId="6B8BD7AC"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L’acheminement de l’électricité dans les installations électriques privées relève d’une servitude reconnue d’utilité publique, et encadrée par la loi (Articles L323-3, L433-10, L521-7, L521-13 du Code l’énergie).</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Le CPL, circulant dans les installations électriques privées des usagers à des fins de communication numérique, constitue une nouvelle servitude n’ayant pas fait l’objet de concertation avec les usagers selon l’article L433-9 du Code de l’Énergie.</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Il en est de même pour l’usufruit selon les articles 578, 579, 581, 582 du Code Civil.</w:t>
      </w:r>
    </w:p>
    <w:p w14:paraId="7144CF75" w14:textId="77777777"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Cette servitude illégale et cet usufruit abusif peuvent être opposés au déploiement du Système Linky.</w:t>
      </w:r>
    </w:p>
    <w:p w14:paraId="77D7BC74" w14:textId="77777777" w:rsidR="007750FF" w:rsidRPr="00CF5866" w:rsidRDefault="007750FF">
      <w:pPr>
        <w:pStyle w:val="Pardfaut"/>
        <w:jc w:val="both"/>
        <w:rPr>
          <w:rFonts w:asciiTheme="minorHAnsi" w:eastAsia="Helvetica" w:hAnsiTheme="minorHAnsi" w:cstheme="minorHAnsi"/>
          <w:color w:val="auto"/>
          <w:sz w:val="21"/>
          <w:szCs w:val="21"/>
        </w:rPr>
      </w:pPr>
    </w:p>
    <w:p w14:paraId="2A659F36" w14:textId="77777777"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b/>
          <w:iCs/>
          <w:color w:val="auto"/>
          <w:sz w:val="21"/>
          <w:szCs w:val="21"/>
        </w:rPr>
        <w:t>6. Sur le plan sanitaire</w:t>
      </w:r>
    </w:p>
    <w:p w14:paraId="40F58440" w14:textId="5A802B54"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Le compteur Linky peut avoir des effets directs et significatifs tant sur l’environnement que sur les personnes, en particulier les femmes enceintes et les enfants.</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Par l’adjonction d’un rayonnement dû au Courant Porteur en Ligne (CPL) circulant dans les câbles électriques de tous les bâtiments, il génère des champs électromagnétiques qui participent à l’augmentation du brouillard électromagnétique.</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w:t>
      </w:r>
    </w:p>
    <w:p w14:paraId="25DF6C49" w14:textId="77777777" w:rsidR="007750FF" w:rsidRPr="00CF5866" w:rsidRDefault="007750FF">
      <w:pPr>
        <w:pStyle w:val="Pardfaut"/>
        <w:jc w:val="both"/>
        <w:rPr>
          <w:rFonts w:asciiTheme="minorHAnsi" w:eastAsia="Helvetica" w:hAnsiTheme="minorHAnsi" w:cstheme="minorHAnsi"/>
          <w:color w:val="auto"/>
          <w:sz w:val="21"/>
          <w:szCs w:val="21"/>
        </w:rPr>
      </w:pPr>
    </w:p>
    <w:p w14:paraId="0749E89E" w14:textId="5FDCEA9B" w:rsidR="007750FF" w:rsidRPr="00CF5866" w:rsidRDefault="002A7251">
      <w:pPr>
        <w:pStyle w:val="Pardfaut"/>
        <w:jc w:val="both"/>
        <w:rPr>
          <w:rFonts w:asciiTheme="minorHAnsi" w:hAnsiTheme="minorHAnsi" w:cstheme="minorHAnsi"/>
          <w:sz w:val="21"/>
          <w:szCs w:val="21"/>
        </w:rPr>
      </w:pPr>
      <w:r w:rsidRPr="00CF5866">
        <w:rPr>
          <w:rFonts w:asciiTheme="minorHAnsi" w:eastAsia="Helvetica" w:hAnsiTheme="minorHAnsi" w:cstheme="minorHAnsi"/>
          <w:b/>
          <w:iCs/>
          <w:color w:val="auto"/>
          <w:sz w:val="21"/>
          <w:szCs w:val="21"/>
        </w:rPr>
        <w:t xml:space="preserve">7. </w:t>
      </w:r>
      <w:r w:rsidR="00B63157" w:rsidRPr="00CF5866">
        <w:rPr>
          <w:rFonts w:asciiTheme="minorHAnsi" w:eastAsia="Helvetica" w:hAnsiTheme="minorHAnsi" w:cstheme="minorHAnsi"/>
          <w:b/>
          <w:iCs/>
          <w:color w:val="auto"/>
          <w:sz w:val="21"/>
          <w:szCs w:val="21"/>
        </w:rPr>
        <w:t>Non-conformit</w:t>
      </w:r>
      <w:r w:rsidR="00B63157" w:rsidRPr="00CF5866">
        <w:rPr>
          <w:rFonts w:asciiTheme="minorHAnsi" w:hAnsiTheme="minorHAnsi" w:cstheme="minorHAnsi"/>
          <w:b/>
          <w:iCs/>
          <w:color w:val="auto"/>
          <w:sz w:val="21"/>
          <w:szCs w:val="21"/>
        </w:rPr>
        <w:t>é</w:t>
      </w:r>
      <w:r w:rsidRPr="00CF5866">
        <w:rPr>
          <w:rFonts w:asciiTheme="minorHAnsi" w:hAnsiTheme="minorHAnsi" w:cstheme="minorHAnsi"/>
          <w:b/>
          <w:iCs/>
          <w:color w:val="auto"/>
          <w:sz w:val="21"/>
          <w:szCs w:val="21"/>
        </w:rPr>
        <w:t xml:space="preserve"> à la règlementation sur la sécurité des installations électriques</w:t>
      </w:r>
    </w:p>
    <w:p w14:paraId="4012DAE6" w14:textId="5A8C9274"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L’article 51 du Règlement Sanitaire Départemental, arrêté préfectoral, dont l’application est sous la responsabilité exclusive du Maire, exige que les installations électriques soient conformes à la norme NF C 14-100. Or, les conditions de pose de ces compteurs se font parfois en </w:t>
      </w:r>
      <w:r w:rsidR="00B63157" w:rsidRPr="00CF5866">
        <w:rPr>
          <w:rFonts w:asciiTheme="minorHAnsi" w:hAnsiTheme="minorHAnsi" w:cstheme="minorHAnsi"/>
          <w:color w:val="auto"/>
          <w:sz w:val="21"/>
          <w:szCs w:val="21"/>
        </w:rPr>
        <w:t>non-conformité</w:t>
      </w:r>
      <w:r w:rsidRPr="00CF5866">
        <w:rPr>
          <w:rFonts w:asciiTheme="minorHAnsi" w:hAnsiTheme="minorHAnsi" w:cstheme="minorHAnsi"/>
          <w:color w:val="auto"/>
          <w:sz w:val="21"/>
          <w:szCs w:val="21"/>
        </w:rPr>
        <w:t xml:space="preserve"> avec cette Norme NF C 14-100, notamment pour ce qui concerne la prévention des risques d’incendie (panneaux en bois). La possibilité pour Enedis, de modifier à distance la puissance souscrite des usagers, contrevient à la Norme NF C 15-100, (vérification et mise en conformité de la section des conducteurs).</w:t>
      </w:r>
      <w:r w:rsidR="00B63157" w:rsidRPr="00CF5866">
        <w:rPr>
          <w:rFonts w:asciiTheme="minorHAnsi" w:hAnsiTheme="minorHAnsi" w:cstheme="minorHAnsi"/>
          <w:color w:val="auto"/>
          <w:sz w:val="21"/>
          <w:szCs w:val="21"/>
        </w:rPr>
        <w:t xml:space="preserve"> </w:t>
      </w:r>
      <w:r w:rsidRPr="00CF5866">
        <w:rPr>
          <w:rFonts w:asciiTheme="minorHAnsi" w:hAnsiTheme="minorHAnsi" w:cstheme="minorHAnsi"/>
          <w:color w:val="auto"/>
          <w:sz w:val="21"/>
          <w:szCs w:val="21"/>
        </w:rPr>
        <w:t>Il serait opportun qu’un arrêté du maire exige le strict respect de la règlementation et des normes de prévention et de sécurité par les entreprises en charge des installations.</w:t>
      </w:r>
    </w:p>
    <w:p w14:paraId="2E648651" w14:textId="77777777" w:rsidR="007750FF" w:rsidRPr="00CF5866" w:rsidRDefault="007750FF">
      <w:pPr>
        <w:pStyle w:val="Pardfaut"/>
        <w:jc w:val="both"/>
        <w:rPr>
          <w:rFonts w:asciiTheme="minorHAnsi" w:eastAsia="Helvetica" w:hAnsiTheme="minorHAnsi" w:cstheme="minorHAnsi"/>
          <w:color w:val="auto"/>
          <w:sz w:val="21"/>
          <w:szCs w:val="21"/>
        </w:rPr>
      </w:pPr>
    </w:p>
    <w:p w14:paraId="6181A651" w14:textId="62AE43E5"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Aussi, je vous invite à </w:t>
      </w:r>
      <w:r w:rsidR="00B63157" w:rsidRPr="00CF5866">
        <w:rPr>
          <w:rFonts w:asciiTheme="minorHAnsi" w:hAnsiTheme="minorHAnsi" w:cstheme="minorHAnsi"/>
          <w:color w:val="auto"/>
          <w:sz w:val="21"/>
          <w:szCs w:val="21"/>
        </w:rPr>
        <w:t>organiser</w:t>
      </w:r>
      <w:r w:rsidRPr="00CF5866">
        <w:rPr>
          <w:rFonts w:asciiTheme="minorHAnsi" w:hAnsiTheme="minorHAnsi" w:cstheme="minorHAnsi"/>
          <w:color w:val="auto"/>
          <w:sz w:val="21"/>
          <w:szCs w:val="21"/>
        </w:rPr>
        <w:t xml:space="preserve"> dès que possible, au choix ou en </w:t>
      </w:r>
      <w:r w:rsidR="00B63157" w:rsidRPr="00CF5866">
        <w:rPr>
          <w:rFonts w:asciiTheme="minorHAnsi" w:hAnsiTheme="minorHAnsi" w:cstheme="minorHAnsi"/>
          <w:color w:val="auto"/>
          <w:sz w:val="21"/>
          <w:szCs w:val="21"/>
        </w:rPr>
        <w:t>totalité :</w:t>
      </w:r>
      <w:r w:rsidRPr="00CF5866">
        <w:rPr>
          <w:rFonts w:asciiTheme="minorHAnsi" w:hAnsiTheme="minorHAnsi" w:cstheme="minorHAnsi"/>
          <w:color w:val="auto"/>
          <w:sz w:val="21"/>
          <w:szCs w:val="21"/>
        </w:rPr>
        <w:t xml:space="preserve"> </w:t>
      </w:r>
    </w:p>
    <w:p w14:paraId="45D669E9" w14:textId="01C8A345" w:rsidR="007750FF" w:rsidRPr="00CF5866" w:rsidRDefault="00B63157" w:rsidP="00B63157">
      <w:pPr>
        <w:pStyle w:val="Pardfaut"/>
        <w:numPr>
          <w:ilvl w:val="0"/>
          <w:numId w:val="1"/>
        </w:numPr>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Une </w:t>
      </w:r>
      <w:r w:rsidR="002A7251" w:rsidRPr="00CF5866">
        <w:rPr>
          <w:rFonts w:asciiTheme="minorHAnsi" w:hAnsiTheme="minorHAnsi" w:cstheme="minorHAnsi"/>
          <w:color w:val="auto"/>
          <w:sz w:val="21"/>
          <w:szCs w:val="21"/>
        </w:rPr>
        <w:t>délibération du Conseil Municipal refusant le déclassement des compteurs existants et interdisant leur élimination ;</w:t>
      </w:r>
    </w:p>
    <w:p w14:paraId="4DA9EC7B" w14:textId="09279D76" w:rsidR="007750FF" w:rsidRPr="00CF5866" w:rsidRDefault="00B63157" w:rsidP="00B63157">
      <w:pPr>
        <w:pStyle w:val="Pardfaut"/>
        <w:numPr>
          <w:ilvl w:val="0"/>
          <w:numId w:val="1"/>
        </w:numPr>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Un </w:t>
      </w:r>
      <w:r w:rsidR="002A7251" w:rsidRPr="00CF5866">
        <w:rPr>
          <w:rFonts w:asciiTheme="minorHAnsi" w:hAnsiTheme="minorHAnsi" w:cstheme="minorHAnsi"/>
          <w:color w:val="auto"/>
          <w:sz w:val="21"/>
          <w:szCs w:val="21"/>
        </w:rPr>
        <w:t>arrêté du Maire suspendant le déploiement du compteur Linky sur la Commune tant que la CNIL ne se sera pas prononcée sur la demande de vérification formulée par la Commune ;</w:t>
      </w:r>
    </w:p>
    <w:p w14:paraId="0AE2068D" w14:textId="0A39FA91" w:rsidR="007750FF" w:rsidRPr="00CF5866" w:rsidRDefault="00B63157" w:rsidP="00B63157">
      <w:pPr>
        <w:pStyle w:val="Pardfaut"/>
        <w:numPr>
          <w:ilvl w:val="0"/>
          <w:numId w:val="1"/>
        </w:numPr>
        <w:jc w:val="both"/>
        <w:rPr>
          <w:rFonts w:asciiTheme="minorHAnsi" w:hAnsiTheme="minorHAnsi" w:cstheme="minorHAnsi"/>
          <w:color w:val="auto"/>
          <w:sz w:val="21"/>
          <w:szCs w:val="21"/>
        </w:rPr>
      </w:pPr>
      <w:r w:rsidRPr="00CF5866">
        <w:rPr>
          <w:rFonts w:asciiTheme="minorHAnsi" w:hAnsiTheme="minorHAnsi" w:cstheme="minorHAnsi"/>
          <w:color w:val="auto"/>
          <w:sz w:val="21"/>
          <w:szCs w:val="21"/>
        </w:rPr>
        <w:t xml:space="preserve">Un </w:t>
      </w:r>
      <w:r w:rsidR="002A7251" w:rsidRPr="00CF5866">
        <w:rPr>
          <w:rFonts w:asciiTheme="minorHAnsi" w:hAnsiTheme="minorHAnsi" w:cstheme="minorHAnsi"/>
          <w:color w:val="auto"/>
          <w:sz w:val="21"/>
          <w:szCs w:val="21"/>
        </w:rPr>
        <w:t>arrêté du Maire exigeant le respect des normes de prévention et de sécurité dans l’installation des compteurs sur le territoire de la Commune.</w:t>
      </w:r>
    </w:p>
    <w:p w14:paraId="2504A9AB" w14:textId="5FCB1410" w:rsidR="00B63157" w:rsidRPr="00CF5866" w:rsidRDefault="00B63157" w:rsidP="00B63157">
      <w:pPr>
        <w:pStyle w:val="Pardfaut"/>
        <w:numPr>
          <w:ilvl w:val="0"/>
          <w:numId w:val="1"/>
        </w:numPr>
        <w:jc w:val="both"/>
        <w:rPr>
          <w:rFonts w:asciiTheme="minorHAnsi" w:hAnsiTheme="minorHAnsi" w:cstheme="minorHAnsi"/>
          <w:color w:val="auto"/>
          <w:sz w:val="21"/>
          <w:szCs w:val="21"/>
        </w:rPr>
      </w:pPr>
      <w:r w:rsidRPr="00CF5866">
        <w:rPr>
          <w:rFonts w:asciiTheme="minorHAnsi" w:hAnsiTheme="minorHAnsi" w:cstheme="minorHAnsi"/>
          <w:color w:val="auto"/>
          <w:sz w:val="21"/>
          <w:szCs w:val="21"/>
        </w:rPr>
        <w:t>La tenue d’une réunion d’information publique avec le concours d’association ou collectifs apportant une argumentation contradictoire au discours d’Enedis</w:t>
      </w:r>
    </w:p>
    <w:p w14:paraId="41E5E34D" w14:textId="349C9D1B" w:rsidR="00B63157" w:rsidRPr="00CF5866" w:rsidRDefault="00B63157" w:rsidP="00B63157">
      <w:pPr>
        <w:pStyle w:val="Pardfaut"/>
        <w:numPr>
          <w:ilvl w:val="0"/>
          <w:numId w:val="1"/>
        </w:numPr>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Une sommation à ENEDIS, et ses sous-traitants, de respecter la volonté de ceux qui désirent refuser cette installation dans le respect de leurs droits et contrats. </w:t>
      </w:r>
    </w:p>
    <w:p w14:paraId="1C21F6DD" w14:textId="77777777" w:rsidR="007750FF" w:rsidRPr="00CF5866" w:rsidRDefault="007750FF">
      <w:pPr>
        <w:pStyle w:val="Pardfaut"/>
        <w:jc w:val="both"/>
        <w:rPr>
          <w:rFonts w:asciiTheme="minorHAnsi" w:eastAsia="Helvetica" w:hAnsiTheme="minorHAnsi" w:cstheme="minorHAnsi"/>
          <w:color w:val="auto"/>
          <w:sz w:val="21"/>
          <w:szCs w:val="21"/>
        </w:rPr>
      </w:pPr>
    </w:p>
    <w:p w14:paraId="5E083322" w14:textId="52D84121" w:rsidR="007750FF" w:rsidRPr="00CF5866" w:rsidRDefault="002A7251">
      <w:pPr>
        <w:pStyle w:val="Pardfaut"/>
        <w:jc w:val="both"/>
        <w:rPr>
          <w:rFonts w:asciiTheme="minorHAnsi" w:hAnsiTheme="minorHAnsi" w:cstheme="minorHAnsi"/>
          <w:sz w:val="21"/>
          <w:szCs w:val="21"/>
        </w:rPr>
      </w:pPr>
      <w:r w:rsidRPr="00CF5866">
        <w:rPr>
          <w:rFonts w:asciiTheme="minorHAnsi" w:hAnsiTheme="minorHAnsi" w:cstheme="minorHAnsi"/>
          <w:color w:val="auto"/>
          <w:sz w:val="21"/>
          <w:szCs w:val="21"/>
        </w:rPr>
        <w:t xml:space="preserve">Me plaçant dans cette attente, je vous prie de recevoir, Madame, Monsieur le Maire, Mesdames et Messieurs les Conseillers Municipaux, </w:t>
      </w:r>
      <w:r w:rsidR="00B63157" w:rsidRPr="00CF5866">
        <w:rPr>
          <w:rFonts w:asciiTheme="minorHAnsi" w:hAnsiTheme="minorHAnsi" w:cstheme="minorHAnsi"/>
          <w:color w:val="auto"/>
          <w:sz w:val="21"/>
          <w:szCs w:val="21"/>
        </w:rPr>
        <w:t>mes sincères salutations</w:t>
      </w:r>
      <w:r w:rsidRPr="00CF5866">
        <w:rPr>
          <w:rFonts w:asciiTheme="minorHAnsi" w:hAnsiTheme="minorHAnsi" w:cstheme="minorHAnsi"/>
          <w:color w:val="auto"/>
          <w:sz w:val="21"/>
          <w:szCs w:val="21"/>
        </w:rPr>
        <w:t>.</w:t>
      </w:r>
    </w:p>
    <w:p w14:paraId="7B9E77B0" w14:textId="6CD57AD8" w:rsidR="007750FF" w:rsidRDefault="007750FF">
      <w:pPr>
        <w:pStyle w:val="Pardfaut"/>
        <w:jc w:val="both"/>
        <w:rPr>
          <w:rFonts w:asciiTheme="minorHAnsi" w:hAnsiTheme="minorHAnsi" w:cstheme="minorHAnsi"/>
          <w:color w:val="auto"/>
          <w:sz w:val="21"/>
          <w:szCs w:val="21"/>
        </w:rPr>
      </w:pPr>
    </w:p>
    <w:p w14:paraId="54D6B2FE" w14:textId="4B9DA44C" w:rsidR="00CF5866" w:rsidRDefault="00CF5866">
      <w:pPr>
        <w:pStyle w:val="Pardfaut"/>
        <w:jc w:val="both"/>
        <w:rPr>
          <w:rFonts w:asciiTheme="minorHAnsi" w:hAnsiTheme="minorHAnsi" w:cstheme="minorHAnsi"/>
          <w:color w:val="auto"/>
          <w:sz w:val="21"/>
          <w:szCs w:val="21"/>
        </w:rPr>
      </w:pPr>
    </w:p>
    <w:p w14:paraId="79B4D245" w14:textId="28F39907" w:rsidR="00CF5866" w:rsidRDefault="00CF5866">
      <w:pPr>
        <w:pStyle w:val="Pardfaut"/>
        <w:jc w:val="both"/>
        <w:rPr>
          <w:rFonts w:asciiTheme="minorHAnsi" w:hAnsiTheme="minorHAnsi" w:cstheme="minorHAnsi"/>
          <w:color w:val="auto"/>
          <w:sz w:val="21"/>
          <w:szCs w:val="21"/>
        </w:rPr>
      </w:pPr>
    </w:p>
    <w:p w14:paraId="2442740B" w14:textId="246A7CF3" w:rsidR="00CF5866" w:rsidRDefault="00CF5866">
      <w:pPr>
        <w:pStyle w:val="Pardfaut"/>
        <w:jc w:val="both"/>
        <w:rPr>
          <w:rFonts w:asciiTheme="minorHAnsi" w:hAnsiTheme="minorHAnsi" w:cstheme="minorHAnsi"/>
          <w:color w:val="auto"/>
          <w:sz w:val="21"/>
          <w:szCs w:val="21"/>
        </w:rPr>
      </w:pPr>
    </w:p>
    <w:p w14:paraId="24483D89" w14:textId="6633FA43" w:rsidR="00CF5866" w:rsidRPr="00CF5866" w:rsidRDefault="00CF5866">
      <w:pPr>
        <w:pStyle w:val="Pardfaut"/>
        <w:jc w:val="both"/>
        <w:rPr>
          <w:rFonts w:asciiTheme="minorHAnsi" w:hAnsiTheme="minorHAnsi" w:cstheme="minorHAnsi"/>
          <w:color w:val="BFBFBF" w:themeColor="background1" w:themeShade="BF"/>
          <w:sz w:val="21"/>
          <w:szCs w:val="21"/>
        </w:rPr>
      </w:pPr>
      <w:r w:rsidRPr="00CF5866">
        <w:rPr>
          <w:rFonts w:asciiTheme="minorHAnsi" w:hAnsiTheme="minorHAnsi" w:cstheme="minorHAnsi"/>
          <w:color w:val="BFBFBF" w:themeColor="background1" w:themeShade="BF"/>
          <w:sz w:val="21"/>
          <w:szCs w:val="21"/>
        </w:rPr>
        <w:t xml:space="preserve">Signature </w:t>
      </w:r>
    </w:p>
    <w:sectPr w:rsidR="00CF5866" w:rsidRPr="00CF5866">
      <w:footerReference w:type="default" r:id="rId8"/>
      <w:footerReference w:type="first" r:id="rId9"/>
      <w:pgSz w:w="11906" w:h="16838"/>
      <w:pgMar w:top="851" w:right="1134" w:bottom="851"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5A2B" w14:textId="77777777" w:rsidR="00087892" w:rsidRDefault="00087892">
      <w:r>
        <w:separator/>
      </w:r>
    </w:p>
  </w:endnote>
  <w:endnote w:type="continuationSeparator" w:id="0">
    <w:p w14:paraId="5055D437" w14:textId="77777777" w:rsidR="00087892" w:rsidRDefault="000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default"/>
  </w:font>
  <w:font w:name="Noto Sans CJK SC Regular">
    <w:charset w:val="01"/>
    <w:family w:val="auto"/>
    <w:pitch w:val="variable"/>
  </w:font>
  <w:font w:name="FreeSans">
    <w:altName w:val="Calibri"/>
    <w:charset w:val="01"/>
    <w:family w:val="auto"/>
    <w:pitch w:val="variable"/>
  </w:font>
  <w:font w:name="Helvetica Neue">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75F0" w14:textId="03F1D115" w:rsidR="007750FF" w:rsidRDefault="00CF5866">
    <w:pPr>
      <w:pStyle w:val="Pieddepage"/>
      <w:ind w:right="360"/>
    </w:pPr>
    <w:r>
      <w:rPr>
        <w:noProof/>
      </w:rPr>
      <mc:AlternateContent>
        <mc:Choice Requires="wps">
          <w:drawing>
            <wp:anchor distT="0" distB="0" distL="0" distR="0" simplePos="0" relativeHeight="251657728" behindDoc="0" locked="0" layoutInCell="1" allowOverlap="1" wp14:anchorId="390D5340" wp14:editId="6A922712">
              <wp:simplePos x="0" y="0"/>
              <wp:positionH relativeFrom="page">
                <wp:posOffset>6572885</wp:posOffset>
              </wp:positionH>
              <wp:positionV relativeFrom="paragraph">
                <wp:posOffset>-1270</wp:posOffset>
              </wp:positionV>
              <wp:extent cx="255270" cy="147320"/>
              <wp:effectExtent l="635" t="825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F8D26" w14:textId="77777777" w:rsidR="007750FF" w:rsidRDefault="002A7251">
                          <w:pPr>
                            <w:pStyle w:val="Pieddepage"/>
                          </w:pPr>
                          <w:r>
                            <w:rPr>
                              <w:rStyle w:val="Numrodepage"/>
                              <w:rFonts w:cs="Calibri"/>
                              <w:sz w:val="20"/>
                              <w:szCs w:val="20"/>
                            </w:rPr>
                            <w:fldChar w:fldCharType="begin"/>
                          </w:r>
                          <w:r>
                            <w:rPr>
                              <w:rStyle w:val="Numrodepage"/>
                              <w:rFonts w:cs="Calibri"/>
                              <w:sz w:val="20"/>
                              <w:szCs w:val="20"/>
                            </w:rPr>
                            <w:instrText xml:space="preserve"> PAGE </w:instrText>
                          </w:r>
                          <w:r>
                            <w:rPr>
                              <w:rStyle w:val="Numrodepage"/>
                              <w:rFonts w:cs="Calibri"/>
                              <w:sz w:val="20"/>
                              <w:szCs w:val="20"/>
                            </w:rPr>
                            <w:fldChar w:fldCharType="separate"/>
                          </w:r>
                          <w:r>
                            <w:rPr>
                              <w:rStyle w:val="Numrodepage"/>
                              <w:rFonts w:cs="Calibri"/>
                              <w:sz w:val="20"/>
                              <w:szCs w:val="20"/>
                            </w:rPr>
                            <w:t>4</w:t>
                          </w:r>
                          <w:r>
                            <w:rPr>
                              <w:rStyle w:val="Numrodepage"/>
                              <w:rFonts w:cs="Calibri"/>
                              <w:sz w:val="20"/>
                              <w:szCs w:val="20"/>
                            </w:rPr>
                            <w:fldChar w:fldCharType="end"/>
                          </w:r>
                          <w:r>
                            <w:rPr>
                              <w:rStyle w:val="Numrodepage"/>
                              <w:rFonts w:ascii="Calibri" w:hAnsi="Calibri" w:cs="Calibri"/>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D5340" id="_x0000_t202" coordsize="21600,21600" o:spt="202" path="m,l,21600r21600,l21600,xe">
              <v:stroke joinstyle="miter"/>
              <v:path gradientshapeok="t" o:connecttype="rect"/>
            </v:shapetype>
            <v:shape id="Text Box 1" o:spid="_x0000_s1026" type="#_x0000_t202" style="position:absolute;margin-left:517.55pt;margin-top:-.1pt;width:20.1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" stroked="f">
              <v:fill opacity="0"/>
              <v:textbox inset="0,0,0,0">
                <w:txbxContent>
                  <w:p w14:paraId="4F3F8D26" w14:textId="77777777" w:rsidR="007750FF" w:rsidRDefault="002A7251">
                    <w:pPr>
                      <w:pStyle w:val="Pieddepage"/>
                    </w:pPr>
                    <w:r>
                      <w:rPr>
                        <w:rStyle w:val="Numrodepage"/>
                        <w:rFonts w:cs="Calibri"/>
                        <w:sz w:val="20"/>
                        <w:szCs w:val="20"/>
                      </w:rPr>
                      <w:fldChar w:fldCharType="begin"/>
                    </w:r>
                    <w:r>
                      <w:rPr>
                        <w:rStyle w:val="Numrodepage"/>
                        <w:rFonts w:cs="Calibri"/>
                        <w:sz w:val="20"/>
                        <w:szCs w:val="20"/>
                      </w:rPr>
                      <w:instrText xml:space="preserve"> PAGE </w:instrText>
                    </w:r>
                    <w:r>
                      <w:rPr>
                        <w:rStyle w:val="Numrodepage"/>
                        <w:rFonts w:cs="Calibri"/>
                        <w:sz w:val="20"/>
                        <w:szCs w:val="20"/>
                      </w:rPr>
                      <w:fldChar w:fldCharType="separate"/>
                    </w:r>
                    <w:r>
                      <w:rPr>
                        <w:rStyle w:val="Numrodepage"/>
                        <w:rFonts w:cs="Calibri"/>
                        <w:sz w:val="20"/>
                        <w:szCs w:val="20"/>
                      </w:rPr>
                      <w:t>4</w:t>
                    </w:r>
                    <w:r>
                      <w:rPr>
                        <w:rStyle w:val="Numrodepage"/>
                        <w:rFonts w:cs="Calibri"/>
                        <w:sz w:val="20"/>
                        <w:szCs w:val="20"/>
                      </w:rPr>
                      <w:fldChar w:fldCharType="end"/>
                    </w:r>
                    <w:r>
                      <w:rPr>
                        <w:rStyle w:val="Numrodepage"/>
                        <w:rFonts w:ascii="Calibri" w:hAnsi="Calibri" w:cs="Calibri"/>
                        <w:sz w:val="20"/>
                        <w:szCs w:val="20"/>
                      </w:rPr>
                      <w:t>/2</w:t>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6D13" w14:textId="77777777" w:rsidR="007750FF" w:rsidRDefault="00775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B979" w14:textId="77777777" w:rsidR="00087892" w:rsidRDefault="00087892">
      <w:r>
        <w:separator/>
      </w:r>
    </w:p>
  </w:footnote>
  <w:footnote w:type="continuationSeparator" w:id="0">
    <w:p w14:paraId="196478A0" w14:textId="77777777" w:rsidR="00087892" w:rsidRDefault="0008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F1459"/>
    <w:multiLevelType w:val="hybridMultilevel"/>
    <w:tmpl w:val="7FC8B18C"/>
    <w:lvl w:ilvl="0" w:tplc="040C0001">
      <w:start w:val="1"/>
      <w:numFmt w:val="bullet"/>
      <w:lvlText w:val=""/>
      <w:lvlJc w:val="left"/>
      <w:pPr>
        <w:ind w:left="360" w:hanging="360"/>
      </w:pPr>
      <w:rPr>
        <w:rFonts w:ascii="Symbol" w:hAnsi="Symbol" w:hint="default"/>
      </w:rPr>
    </w:lvl>
    <w:lvl w:ilvl="1" w:tplc="B6B60150">
      <w:numFmt w:val="bullet"/>
      <w:lvlText w:val="-"/>
      <w:lvlJc w:val="left"/>
      <w:pPr>
        <w:ind w:left="1080" w:hanging="360"/>
      </w:pPr>
      <w:rPr>
        <w:rFonts w:ascii="Calibri" w:eastAsia="Arial Unicode MS" w:hAnsi="Calibri" w:cs="Calibri"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4"/>
    <w:rsid w:val="00013777"/>
    <w:rsid w:val="00087892"/>
    <w:rsid w:val="00144DA1"/>
    <w:rsid w:val="002A7251"/>
    <w:rsid w:val="00423AAC"/>
    <w:rsid w:val="004C6F5F"/>
    <w:rsid w:val="00520E45"/>
    <w:rsid w:val="007750FF"/>
    <w:rsid w:val="00B63157"/>
    <w:rsid w:val="00CF5866"/>
    <w:rsid w:val="00E328D4"/>
    <w:rsid w:val="00F27EF5"/>
    <w:rsid w:val="00F62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15E69A"/>
  <w15:chartTrackingRefBased/>
  <w15:docId w15:val="{16D574AA-B79B-4B06-90B5-8A2AAC7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eastAsia="Arial Unicode MS"/>
      <w:kern w:val="1"/>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u w:val="single"/>
    </w:rPr>
  </w:style>
  <w:style w:type="character" w:customStyle="1" w:styleId="Aucune">
    <w:name w:val="Aucune"/>
    <w:rPr>
      <w:lang w:val="pt-PT"/>
    </w:rPr>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Pardfaut">
    <w:name w:val="Par défaut"/>
    <w:pPr>
      <w:pBdr>
        <w:top w:val="none" w:sz="0" w:space="0" w:color="000000"/>
        <w:left w:val="none" w:sz="0" w:space="0" w:color="000000"/>
        <w:bottom w:val="none" w:sz="0" w:space="0" w:color="000000"/>
        <w:right w:val="none" w:sz="0" w:space="0" w:color="000000"/>
      </w:pBdr>
    </w:pPr>
    <w:rPr>
      <w:rFonts w:ascii="Helvetica Neue" w:eastAsia="Arial Unicode MS" w:hAnsi="Helvetica Neue" w:cs="Arial Unicode MS"/>
      <w:color w:val="000000"/>
      <w:kern w:val="1"/>
      <w:sz w:val="22"/>
      <w:szCs w:val="22"/>
      <w:lang w:eastAsia="zh-CN" w:bidi="hi-I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cadre">
    <w:name w:val="Contenu de cadre"/>
    <w:basedOn w:val="Normal"/>
  </w:style>
  <w:style w:type="paragraph" w:styleId="Sansinterligne">
    <w:name w:val="No Spacing"/>
    <w:uiPriority w:val="1"/>
    <w:qFormat/>
    <w:rsid w:val="00B63157"/>
    <w:rPr>
      <w:rFonts w:ascii="Calibri" w:eastAsia="Calibri" w:hAnsi="Calibri"/>
      <w:sz w:val="22"/>
      <w:szCs w:val="22"/>
      <w:lang w:eastAsia="en-US"/>
    </w:rPr>
  </w:style>
  <w:style w:type="table" w:styleId="Grilledutableau">
    <w:name w:val="Table Grid"/>
    <w:basedOn w:val="TableauNormal"/>
    <w:uiPriority w:val="59"/>
    <w:rsid w:val="00B631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6340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NOM - Prénom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Prénom :</dc:title>
  <dc:subject/>
  <dc:creator>stop linky var et paca</dc:creator>
  <cp:keywords/>
  <dc:description/>
  <cp:lastModifiedBy>Michelle FENECH</cp:lastModifiedBy>
  <cp:revision>2</cp:revision>
  <cp:lastPrinted>1899-12-31T23:00:00Z</cp:lastPrinted>
  <dcterms:created xsi:type="dcterms:W3CDTF">2020-12-06T20:47:00Z</dcterms:created>
  <dcterms:modified xsi:type="dcterms:W3CDTF">2020-12-06T20:47:00Z</dcterms:modified>
</cp:coreProperties>
</file>